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B23" w:rsidRDefault="0048249A">
      <w:pPr>
        <w:pStyle w:val="Titolo"/>
        <w:pageBreakBefore/>
        <w:rPr>
          <w:rFonts w:ascii="Garamond" w:hAnsi="Garamond"/>
          <w:sz w:val="24"/>
          <w:szCs w:val="24"/>
        </w:rPr>
      </w:pPr>
      <w:r w:rsidRPr="009C6FAC">
        <w:rPr>
          <w:rFonts w:ascii="Garamond" w:hAnsi="Garamond"/>
          <w:sz w:val="24"/>
          <w:szCs w:val="24"/>
        </w:rPr>
        <w:t xml:space="preserve">Scheda di sintesi sulla rilevazione degli OIV o </w:t>
      </w:r>
      <w:r w:rsidR="009A5646">
        <w:rPr>
          <w:rFonts w:ascii="Garamond" w:hAnsi="Garamond"/>
          <w:sz w:val="24"/>
          <w:szCs w:val="24"/>
        </w:rPr>
        <w:t>organismi con funzioni analoghe</w:t>
      </w:r>
    </w:p>
    <w:p w:rsidR="00C27B23" w:rsidRPr="009C6FAC" w:rsidRDefault="00C27B23">
      <w:pPr>
        <w:pStyle w:val="Paragrafoelenco"/>
        <w:ind w:left="0" w:firstLine="0"/>
        <w:rPr>
          <w:rFonts w:ascii="Garamond" w:hAnsi="Garamond"/>
        </w:rPr>
      </w:pPr>
    </w:p>
    <w:p w:rsidR="00C27B23" w:rsidRPr="009C6FAC" w:rsidRDefault="0048249A">
      <w:pPr>
        <w:pStyle w:val="Paragrafoelenco"/>
        <w:spacing w:line="360" w:lineRule="auto"/>
        <w:ind w:left="0" w:firstLine="0"/>
        <w:rPr>
          <w:rFonts w:ascii="Garamond" w:hAnsi="Garamond"/>
          <w:b/>
          <w:i/>
        </w:rPr>
      </w:pPr>
      <w:r w:rsidRPr="009C6FAC">
        <w:rPr>
          <w:rFonts w:ascii="Garamond" w:hAnsi="Garamond"/>
          <w:b/>
          <w:i/>
        </w:rPr>
        <w:t>Data di svolgimento della rilevazione</w:t>
      </w:r>
    </w:p>
    <w:p w:rsidR="00AB5AE4" w:rsidRDefault="00FC7906">
      <w:pPr>
        <w:pStyle w:val="Paragrafoelenco"/>
        <w:spacing w:line="276" w:lineRule="auto"/>
        <w:ind w:left="0" w:firstLine="0"/>
        <w:rPr>
          <w:rFonts w:ascii="Garamond" w:hAnsi="Garamond"/>
          <w:u w:val="single"/>
        </w:rPr>
      </w:pPr>
      <w:r>
        <w:rPr>
          <w:rFonts w:ascii="Garamond" w:hAnsi="Garamond"/>
        </w:rPr>
        <w:t>I</w:t>
      </w:r>
      <w:r w:rsidR="0048249A" w:rsidRPr="009C6FAC">
        <w:rPr>
          <w:rFonts w:ascii="Garamond" w:hAnsi="Garamond"/>
        </w:rPr>
        <w:t xml:space="preserve">ndicare la </w:t>
      </w:r>
      <w:r w:rsidR="0048249A" w:rsidRPr="009C6FAC">
        <w:rPr>
          <w:rFonts w:ascii="Garamond" w:hAnsi="Garamond"/>
          <w:u w:val="single"/>
        </w:rPr>
        <w:t>data di inizio</w:t>
      </w:r>
      <w:r w:rsidR="00AB5AE4">
        <w:rPr>
          <w:rFonts w:ascii="Garamond" w:hAnsi="Garamond"/>
          <w:u w:val="single"/>
        </w:rPr>
        <w:t xml:space="preserve"> della rilevazione 11/03/2019</w:t>
      </w:r>
    </w:p>
    <w:p w:rsidR="00C27B23" w:rsidRPr="009C6FAC" w:rsidRDefault="00AB5AE4">
      <w:pPr>
        <w:pStyle w:val="Paragrafoelenco"/>
        <w:spacing w:line="276" w:lineRule="auto"/>
        <w:ind w:left="0" w:firstLine="0"/>
        <w:rPr>
          <w:rFonts w:ascii="Garamond" w:hAnsi="Garamond"/>
          <w:u w:val="single"/>
        </w:rPr>
      </w:pPr>
      <w:r>
        <w:rPr>
          <w:rFonts w:ascii="Garamond" w:hAnsi="Garamond"/>
          <w:u w:val="single"/>
        </w:rPr>
        <w:t>Data</w:t>
      </w:r>
      <w:r w:rsidR="0048249A" w:rsidRPr="009C6FAC">
        <w:rPr>
          <w:rFonts w:ascii="Garamond" w:hAnsi="Garamond"/>
          <w:u w:val="single"/>
        </w:rPr>
        <w:t xml:space="preserve"> di fine</w:t>
      </w:r>
      <w:r w:rsidR="00FC7906" w:rsidRPr="00FC7906">
        <w:rPr>
          <w:rFonts w:ascii="Garamond" w:hAnsi="Garamond"/>
        </w:rPr>
        <w:t xml:space="preserve"> della rilevazione</w:t>
      </w:r>
      <w:r w:rsidR="0024124A">
        <w:rPr>
          <w:rFonts w:ascii="Garamond" w:hAnsi="Garamond"/>
        </w:rPr>
        <w:t>: 25</w:t>
      </w:r>
      <w:bookmarkStart w:id="0" w:name="_GoBack"/>
      <w:bookmarkEnd w:id="0"/>
      <w:r>
        <w:rPr>
          <w:rFonts w:ascii="Garamond" w:hAnsi="Garamond"/>
        </w:rPr>
        <w:t>/03/2019</w:t>
      </w:r>
    </w:p>
    <w:p w:rsidR="00C27B23" w:rsidRPr="009C6FAC" w:rsidRDefault="00C27B23">
      <w:pPr>
        <w:pStyle w:val="Paragrafoelenco"/>
        <w:spacing w:line="276" w:lineRule="auto"/>
        <w:ind w:left="0" w:firstLine="0"/>
        <w:rPr>
          <w:rFonts w:ascii="Garamond" w:hAnsi="Garamond"/>
        </w:rPr>
      </w:pPr>
    </w:p>
    <w:p w:rsidR="00C27B23" w:rsidRPr="009C6FAC" w:rsidRDefault="0048249A">
      <w:pPr>
        <w:pStyle w:val="Paragrafoelenco"/>
        <w:spacing w:after="0"/>
        <w:ind w:left="0" w:firstLine="0"/>
        <w:rPr>
          <w:rFonts w:ascii="Garamond" w:hAnsi="Garamond"/>
          <w:b/>
          <w:i/>
        </w:rPr>
      </w:pPr>
      <w:r w:rsidRPr="009C6FAC">
        <w:rPr>
          <w:rFonts w:ascii="Garamond" w:hAnsi="Garamond"/>
          <w:b/>
          <w:i/>
        </w:rPr>
        <w:t xml:space="preserve">Estensione della rilevazione (nel </w:t>
      </w:r>
      <w:r w:rsidR="00FC7906">
        <w:rPr>
          <w:rFonts w:ascii="Garamond" w:hAnsi="Garamond"/>
          <w:b/>
          <w:i/>
        </w:rPr>
        <w:t xml:space="preserve">solo </w:t>
      </w:r>
      <w:r w:rsidRPr="009C6FAC">
        <w:rPr>
          <w:rFonts w:ascii="Garamond" w:hAnsi="Garamond"/>
          <w:b/>
          <w:i/>
        </w:rPr>
        <w:t>caso di ammin</w:t>
      </w:r>
      <w:r w:rsidR="007A107C">
        <w:rPr>
          <w:rFonts w:ascii="Garamond" w:hAnsi="Garamond"/>
          <w:b/>
          <w:i/>
        </w:rPr>
        <w:t>istrazioni</w:t>
      </w:r>
      <w:r w:rsidR="00FC7906">
        <w:rPr>
          <w:rFonts w:ascii="Garamond" w:hAnsi="Garamond"/>
          <w:b/>
          <w:i/>
        </w:rPr>
        <w:t>/enti</w:t>
      </w:r>
      <w:r w:rsidR="007A107C">
        <w:rPr>
          <w:rFonts w:ascii="Garamond" w:hAnsi="Garamond"/>
          <w:b/>
          <w:i/>
        </w:rPr>
        <w:t xml:space="preserve"> con uffici periferici)</w:t>
      </w:r>
    </w:p>
    <w:p w:rsidR="00C27B23" w:rsidRPr="009C6FAC" w:rsidRDefault="00C27B23">
      <w:pPr>
        <w:pStyle w:val="Paragrafoelenco"/>
        <w:spacing w:after="0"/>
        <w:ind w:left="0" w:firstLine="0"/>
        <w:rPr>
          <w:rFonts w:ascii="Garamond" w:hAnsi="Garamond"/>
          <w:b/>
          <w:u w:val="single"/>
        </w:rPr>
      </w:pPr>
    </w:p>
    <w:p w:rsidR="00C27B23" w:rsidRPr="00713BFD" w:rsidRDefault="00AB5AE4" w:rsidP="00713BFD">
      <w:pPr>
        <w:tabs>
          <w:tab w:val="left" w:pos="0"/>
        </w:tabs>
        <w:spacing w:after="0" w:line="360" w:lineRule="auto"/>
        <w:rPr>
          <w:rFonts w:ascii="Garamond" w:hAnsi="Garamond"/>
        </w:rPr>
      </w:pPr>
      <w:r>
        <w:rPr>
          <w:rFonts w:ascii="Garamond" w:hAnsi="Garamond"/>
        </w:rPr>
        <w:t>L’ODCEC di Pescara non dispone di uffici periferici.</w:t>
      </w:r>
    </w:p>
    <w:p w:rsidR="00C27B23" w:rsidRPr="009C6FAC" w:rsidRDefault="00C27B23">
      <w:pPr>
        <w:pStyle w:val="Paragrafoelenco"/>
        <w:spacing w:after="0" w:line="276" w:lineRule="auto"/>
        <w:ind w:left="720" w:firstLine="0"/>
        <w:rPr>
          <w:rFonts w:ascii="Garamond" w:hAnsi="Garamond"/>
        </w:rPr>
      </w:pPr>
    </w:p>
    <w:p w:rsidR="00C27B23" w:rsidRPr="009C6FAC" w:rsidRDefault="0048249A">
      <w:pPr>
        <w:pStyle w:val="Paragrafoelenco"/>
        <w:spacing w:line="360" w:lineRule="auto"/>
        <w:ind w:left="0" w:firstLine="0"/>
        <w:rPr>
          <w:rFonts w:ascii="Garamond" w:hAnsi="Garamond"/>
          <w:b/>
          <w:i/>
        </w:rPr>
      </w:pPr>
      <w:r w:rsidRPr="009C6FAC">
        <w:rPr>
          <w:rFonts w:ascii="Garamond" w:hAnsi="Garamond"/>
          <w:b/>
          <w:i/>
        </w:rPr>
        <w:t xml:space="preserve">Procedure e modalità seguite per la rilevazione </w:t>
      </w:r>
    </w:p>
    <w:p w:rsidR="00C27B23" w:rsidRPr="009C6FAC" w:rsidRDefault="00C27B23" w:rsidP="007A107C">
      <w:pPr>
        <w:pStyle w:val="Paragrafoelenco"/>
        <w:spacing w:after="0" w:line="360" w:lineRule="auto"/>
        <w:ind w:left="0" w:firstLine="0"/>
        <w:rPr>
          <w:rFonts w:ascii="Garamond" w:hAnsi="Garamond"/>
        </w:rPr>
      </w:pPr>
    </w:p>
    <w:p w:rsidR="00C27B23" w:rsidRPr="009C6FAC" w:rsidRDefault="0048249A" w:rsidP="007A107C">
      <w:pPr>
        <w:pStyle w:val="Default"/>
        <w:spacing w:line="360" w:lineRule="auto"/>
        <w:jc w:val="both"/>
        <w:rPr>
          <w:rFonts w:ascii="Garamond" w:hAnsi="Garamond"/>
        </w:rPr>
      </w:pPr>
      <w:r w:rsidRPr="009C6FAC">
        <w:rPr>
          <w:rFonts w:ascii="Garamond" w:hAnsi="Garamond"/>
        </w:rPr>
        <w:t>A titolo esemplificativo e non esaustivo, si indicano alcune modalità, non alternative fra loro, che potrebbero essere seguite:</w:t>
      </w:r>
    </w:p>
    <w:p w:rsidR="00C27B23" w:rsidRPr="009C6FAC" w:rsidRDefault="0048249A" w:rsidP="007A107C">
      <w:pPr>
        <w:pStyle w:val="Default"/>
        <w:numPr>
          <w:ilvl w:val="0"/>
          <w:numId w:val="3"/>
        </w:numPr>
        <w:tabs>
          <w:tab w:val="left" w:pos="0"/>
        </w:tabs>
        <w:spacing w:line="360" w:lineRule="auto"/>
        <w:jc w:val="both"/>
        <w:rPr>
          <w:rFonts w:ascii="Garamond" w:hAnsi="Garamond"/>
        </w:rPr>
      </w:pPr>
      <w:r w:rsidRPr="009C6FAC">
        <w:rPr>
          <w:rFonts w:ascii="Garamond" w:hAnsi="Garamond"/>
        </w:rPr>
        <w:t>verifica dell’attività svolta dal Responsabile della</w:t>
      </w:r>
      <w:r w:rsidR="007A107C">
        <w:rPr>
          <w:rFonts w:ascii="Garamond" w:hAnsi="Garamond"/>
        </w:rPr>
        <w:t xml:space="preserve"> preve</w:t>
      </w:r>
      <w:r w:rsidR="00713BFD">
        <w:rPr>
          <w:rFonts w:ascii="Garamond" w:hAnsi="Garamond"/>
        </w:rPr>
        <w:t>nzione della corruzione e della</w:t>
      </w:r>
      <w:r w:rsidRPr="009C6FAC">
        <w:rPr>
          <w:rFonts w:ascii="Garamond" w:hAnsi="Garamond"/>
        </w:rPr>
        <w:t xml:space="preserve"> trasparenza per riscontrare l’adempimento degli obblighi di pubblicazione;</w:t>
      </w:r>
    </w:p>
    <w:p w:rsidR="00C27B23" w:rsidRPr="009C6FAC" w:rsidRDefault="0048249A" w:rsidP="007A107C">
      <w:pPr>
        <w:pStyle w:val="Default"/>
        <w:numPr>
          <w:ilvl w:val="0"/>
          <w:numId w:val="3"/>
        </w:numPr>
        <w:tabs>
          <w:tab w:val="left" w:pos="0"/>
        </w:tabs>
        <w:spacing w:line="360" w:lineRule="auto"/>
        <w:jc w:val="both"/>
        <w:rPr>
          <w:rFonts w:ascii="Garamond" w:hAnsi="Garamond"/>
        </w:rPr>
      </w:pPr>
      <w:r w:rsidRPr="009C6FAC">
        <w:rPr>
          <w:rFonts w:ascii="Garamond" w:hAnsi="Garamond"/>
        </w:rPr>
        <w:t>esame della documentazione e delle banche dati relative ai dati oggetto di attestazione;</w:t>
      </w:r>
    </w:p>
    <w:p w:rsidR="00C27B23" w:rsidRPr="009C6FAC" w:rsidRDefault="0048249A" w:rsidP="007A107C">
      <w:pPr>
        <w:pStyle w:val="Default"/>
        <w:numPr>
          <w:ilvl w:val="0"/>
          <w:numId w:val="3"/>
        </w:numPr>
        <w:tabs>
          <w:tab w:val="left" w:pos="0"/>
        </w:tabs>
        <w:spacing w:line="360" w:lineRule="auto"/>
        <w:jc w:val="both"/>
        <w:rPr>
          <w:rFonts w:ascii="Garamond" w:hAnsi="Garamond"/>
        </w:rPr>
      </w:pPr>
      <w:r w:rsidRPr="009C6FAC">
        <w:rPr>
          <w:rFonts w:ascii="Garamond" w:hAnsi="Garamond"/>
        </w:rPr>
        <w:t>colloqui con i responsabili della trasmissione dei dati;</w:t>
      </w:r>
    </w:p>
    <w:p w:rsidR="00C27B23" w:rsidRPr="009C6FAC" w:rsidRDefault="0048249A" w:rsidP="007A107C">
      <w:pPr>
        <w:pStyle w:val="Default"/>
        <w:numPr>
          <w:ilvl w:val="0"/>
          <w:numId w:val="3"/>
        </w:numPr>
        <w:tabs>
          <w:tab w:val="left" w:pos="0"/>
        </w:tabs>
        <w:spacing w:line="360" w:lineRule="auto"/>
        <w:jc w:val="both"/>
        <w:rPr>
          <w:rFonts w:ascii="Garamond" w:hAnsi="Garamond"/>
        </w:rPr>
      </w:pPr>
      <w:r w:rsidRPr="009C6FAC">
        <w:rPr>
          <w:rFonts w:ascii="Garamond" w:hAnsi="Garamond"/>
        </w:rPr>
        <w:t>colloqui con i responsabili della pubblicazione dei dati;</w:t>
      </w:r>
    </w:p>
    <w:p w:rsidR="00C27B23" w:rsidRDefault="0048249A" w:rsidP="007A107C">
      <w:pPr>
        <w:pStyle w:val="Default"/>
        <w:numPr>
          <w:ilvl w:val="0"/>
          <w:numId w:val="3"/>
        </w:numPr>
        <w:tabs>
          <w:tab w:val="left" w:pos="0"/>
        </w:tabs>
        <w:spacing w:line="360" w:lineRule="auto"/>
        <w:jc w:val="both"/>
        <w:rPr>
          <w:rFonts w:ascii="Garamond" w:hAnsi="Garamond"/>
        </w:rPr>
      </w:pPr>
      <w:r w:rsidRPr="009C6FAC">
        <w:rPr>
          <w:rFonts w:ascii="Garamond" w:hAnsi="Garamond"/>
        </w:rPr>
        <w:t xml:space="preserve">verifica </w:t>
      </w:r>
      <w:r w:rsidR="00713BFD">
        <w:rPr>
          <w:rFonts w:ascii="Garamond" w:hAnsi="Garamond"/>
        </w:rPr>
        <w:t xml:space="preserve">diretta </w:t>
      </w:r>
      <w:r w:rsidRPr="009C6FAC">
        <w:rPr>
          <w:rFonts w:ascii="Garamond" w:hAnsi="Garamond"/>
        </w:rPr>
        <w:t>sul sito istituzionale, anche attraverso l’utilizzo di supporti informatici</w:t>
      </w:r>
      <w:r w:rsidR="00AB5AE4">
        <w:rPr>
          <w:rFonts w:ascii="Garamond" w:hAnsi="Garamond"/>
        </w:rPr>
        <w:t xml:space="preserve">; </w:t>
      </w:r>
    </w:p>
    <w:p w:rsidR="00AB5AE4" w:rsidRPr="009C6FAC" w:rsidRDefault="00AB5AE4" w:rsidP="007A107C">
      <w:pPr>
        <w:pStyle w:val="Default"/>
        <w:numPr>
          <w:ilvl w:val="0"/>
          <w:numId w:val="3"/>
        </w:numPr>
        <w:tabs>
          <w:tab w:val="left" w:pos="0"/>
        </w:tabs>
        <w:spacing w:line="360" w:lineRule="auto"/>
        <w:jc w:val="both"/>
        <w:rPr>
          <w:rFonts w:ascii="Garamond" w:hAnsi="Garamond"/>
        </w:rPr>
      </w:pPr>
      <w:r>
        <w:rPr>
          <w:rFonts w:ascii="Garamond" w:hAnsi="Garamond"/>
        </w:rPr>
        <w:t>Verifica di accessibilità sul sito istituzionale attraverso multi-devices (Sistemi informatici Android e IOS, Smartphone, Tablet)</w:t>
      </w:r>
    </w:p>
    <w:p w:rsidR="00C27B23" w:rsidRPr="009C6FAC" w:rsidRDefault="00C27B23">
      <w:pPr>
        <w:spacing w:line="360" w:lineRule="auto"/>
        <w:rPr>
          <w:rFonts w:ascii="Garamond" w:hAnsi="Garamond"/>
          <w:u w:val="single"/>
        </w:rPr>
      </w:pPr>
    </w:p>
    <w:p w:rsidR="00C27B23" w:rsidRPr="009C6FAC" w:rsidRDefault="0048249A">
      <w:pPr>
        <w:spacing w:line="360" w:lineRule="auto"/>
        <w:rPr>
          <w:rFonts w:ascii="Garamond" w:hAnsi="Garamond"/>
          <w:b/>
          <w:i/>
        </w:rPr>
      </w:pPr>
      <w:r w:rsidRPr="009C6FAC">
        <w:rPr>
          <w:rFonts w:ascii="Garamond" w:hAnsi="Garamond"/>
          <w:b/>
          <w:i/>
        </w:rPr>
        <w:t>Aspetti critici riscontrati nel corso della rilevazione</w:t>
      </w:r>
    </w:p>
    <w:p w:rsidR="00C27B23" w:rsidRPr="00AB5AE4" w:rsidRDefault="00AB5AE4">
      <w:pPr>
        <w:spacing w:line="360" w:lineRule="auto"/>
        <w:rPr>
          <w:rFonts w:ascii="Garamond" w:hAnsi="Garamond"/>
        </w:rPr>
      </w:pPr>
      <w:r w:rsidRPr="00AB5AE4">
        <w:rPr>
          <w:rFonts w:ascii="Garamond" w:hAnsi="Garamond"/>
        </w:rPr>
        <w:t>Nel corso della rilevazione non si riscontrano aspetti critici né in termini di carenza di dati caricati né in termini di accessibilità al sito istituzionale. La sezione amministrazione Trasparente risulta conforme alle disposizioni normative in tema di Trasparenza Amministrativa così come anche certificato dalla “Bussola della Trasparenza”</w:t>
      </w:r>
      <w:r>
        <w:rPr>
          <w:rFonts w:ascii="Garamond" w:hAnsi="Garamond"/>
        </w:rPr>
        <w:t xml:space="preserve"> – strumento di monitoraggio messo a disposizione dal ministero per la semplificazione e la pubblica amministrazione</w:t>
      </w:r>
      <w:r w:rsidRPr="00AB5AE4">
        <w:rPr>
          <w:rFonts w:ascii="Garamond" w:hAnsi="Garamond"/>
        </w:rPr>
        <w:t xml:space="preserve">.  L’ODCEC ha attemperato alle disposizioni di cui al </w:t>
      </w:r>
      <w:proofErr w:type="spellStart"/>
      <w:r w:rsidRPr="00AB5AE4">
        <w:rPr>
          <w:rFonts w:ascii="Garamond" w:hAnsi="Garamond"/>
        </w:rPr>
        <w:t>D.lgs</w:t>
      </w:r>
      <w:proofErr w:type="spellEnd"/>
      <w:r w:rsidRPr="00AB5AE4">
        <w:rPr>
          <w:rFonts w:ascii="Garamond" w:hAnsi="Garamond"/>
        </w:rPr>
        <w:t xml:space="preserve"> 33/2013 e </w:t>
      </w:r>
      <w:proofErr w:type="spellStart"/>
      <w:r w:rsidRPr="00AB5AE4">
        <w:rPr>
          <w:rFonts w:ascii="Garamond" w:hAnsi="Garamond"/>
        </w:rPr>
        <w:t>s.m.i.</w:t>
      </w:r>
      <w:proofErr w:type="spellEnd"/>
      <w:r w:rsidRPr="00AB5AE4">
        <w:rPr>
          <w:rFonts w:ascii="Garamond" w:hAnsi="Garamond"/>
        </w:rPr>
        <w:t xml:space="preserve"> ed ha correttamente predisposto gli adempimenti richiesti dalla L. 190/2012</w:t>
      </w:r>
    </w:p>
    <w:p w:rsidR="008A0378" w:rsidRPr="009C6FAC" w:rsidRDefault="008A0378">
      <w:pPr>
        <w:spacing w:line="360" w:lineRule="auto"/>
        <w:rPr>
          <w:rFonts w:ascii="Garamond" w:hAnsi="Garamond"/>
          <w:b/>
          <w:u w:val="single"/>
        </w:rPr>
      </w:pPr>
    </w:p>
    <w:p w:rsidR="00C27B23" w:rsidRDefault="0048249A">
      <w:pPr>
        <w:spacing w:line="360" w:lineRule="auto"/>
        <w:rPr>
          <w:rFonts w:ascii="Garamond" w:hAnsi="Garamond"/>
          <w:b/>
          <w:i/>
        </w:rPr>
      </w:pPr>
      <w:r w:rsidRPr="009C6FAC">
        <w:rPr>
          <w:rFonts w:ascii="Garamond" w:hAnsi="Garamond"/>
          <w:b/>
          <w:i/>
        </w:rPr>
        <w:t>Eventuale documentazione da allegare</w:t>
      </w:r>
    </w:p>
    <w:p w:rsidR="00AB5AE4" w:rsidRPr="009C6FAC" w:rsidRDefault="00AB5AE4">
      <w:pPr>
        <w:spacing w:line="360" w:lineRule="auto"/>
        <w:rPr>
          <w:rFonts w:ascii="Garamond" w:hAnsi="Garamond"/>
          <w:b/>
          <w:i/>
        </w:rPr>
      </w:pPr>
      <w:r>
        <w:rPr>
          <w:rFonts w:ascii="Garamond" w:hAnsi="Garamond"/>
          <w:b/>
          <w:i/>
        </w:rPr>
        <w:t>Non sono presenti ulteriori allegati.</w:t>
      </w:r>
    </w:p>
    <w:sectPr w:rsidR="00AB5AE4" w:rsidRPr="009C6FAC">
      <w:headerReference w:type="default" r:id="rId7"/>
      <w:pgSz w:w="11906" w:h="16838"/>
      <w:pgMar w:top="1417" w:right="1134" w:bottom="708" w:left="1134" w:header="708"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011" w:rsidRDefault="00D63011">
      <w:pPr>
        <w:spacing w:after="0" w:line="240" w:lineRule="auto"/>
      </w:pPr>
      <w:r>
        <w:separator/>
      </w:r>
    </w:p>
  </w:endnote>
  <w:endnote w:type="continuationSeparator" w:id="0">
    <w:p w:rsidR="00D63011" w:rsidRDefault="00D63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011" w:rsidRDefault="00D63011">
      <w:pPr>
        <w:spacing w:after="0" w:line="240" w:lineRule="auto"/>
      </w:pPr>
      <w:r>
        <w:separator/>
      </w:r>
    </w:p>
  </w:footnote>
  <w:footnote w:type="continuationSeparator" w:id="0">
    <w:p w:rsidR="00D63011" w:rsidRDefault="00D630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B23" w:rsidRPr="006E496C" w:rsidRDefault="0048249A" w:rsidP="006E496C">
    <w:pPr>
      <w:pStyle w:val="Intestazione"/>
      <w:jc w:val="right"/>
      <w:rPr>
        <w:rFonts w:ascii="Garamond" w:hAnsi="Garamond" w:cs="Times New Roman"/>
        <w:b/>
      </w:rPr>
    </w:pPr>
    <w:r w:rsidRPr="006E496C">
      <w:rPr>
        <w:rFonts w:ascii="Garamond" w:hAnsi="Garamond"/>
        <w:b/>
      </w:rPr>
      <w:t xml:space="preserve">Allegato 3 alla </w:t>
    </w:r>
    <w:r w:rsidRPr="006E496C">
      <w:rPr>
        <w:rFonts w:ascii="Garamond" w:hAnsi="Garamond" w:cs="Times New Roman"/>
        <w:b/>
      </w:rPr>
      <w:t xml:space="preserve">delibera n. </w:t>
    </w:r>
    <w:r w:rsidR="002C572E" w:rsidRPr="006E496C">
      <w:rPr>
        <w:rFonts w:ascii="Garamond" w:hAnsi="Garamond" w:cs="Times New Roman"/>
        <w:b/>
      </w:rPr>
      <w:t>141</w:t>
    </w:r>
    <w:r w:rsidRPr="006E496C">
      <w:rPr>
        <w:rFonts w:ascii="Garamond" w:hAnsi="Garamond" w:cs="Times New Roman"/>
        <w:b/>
      </w:rPr>
      <w:t>/201</w:t>
    </w:r>
    <w:r w:rsidR="00FC7906" w:rsidRPr="006E496C">
      <w:rPr>
        <w:rFonts w:ascii="Garamond" w:hAnsi="Garamond" w:cs="Times New Roman"/>
        <w:b/>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B02D7"/>
    <w:multiLevelType w:val="multilevel"/>
    <w:tmpl w:val="562438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 w15:restartNumberingAfterBreak="0">
    <w:nsid w:val="3E981BA1"/>
    <w:multiLevelType w:val="multilevel"/>
    <w:tmpl w:val="42B6B57E"/>
    <w:lvl w:ilvl="0">
      <w:start w:val="1"/>
      <w:numFmt w:val="none"/>
      <w:pStyle w:val="Titolo"/>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54743015"/>
    <w:multiLevelType w:val="multilevel"/>
    <w:tmpl w:val="95685400"/>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7B274FF9"/>
    <w:multiLevelType w:val="hybridMultilevel"/>
    <w:tmpl w:val="4CD022FC"/>
    <w:lvl w:ilvl="0" w:tplc="77CA1D2A">
      <w:start w:val="3"/>
      <w:numFmt w:val="bullet"/>
      <w:lvlText w:val="-"/>
      <w:lvlJc w:val="left"/>
      <w:pPr>
        <w:ind w:left="720" w:hanging="360"/>
      </w:pPr>
      <w:rPr>
        <w:rFonts w:ascii="Garamond" w:eastAsia="Times New Roman" w:hAnsi="Garamond"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27B23"/>
    <w:rsid w:val="0016468A"/>
    <w:rsid w:val="0024124A"/>
    <w:rsid w:val="0024134D"/>
    <w:rsid w:val="002C572E"/>
    <w:rsid w:val="003E1CF5"/>
    <w:rsid w:val="0048249A"/>
    <w:rsid w:val="004F18CD"/>
    <w:rsid w:val="0060106A"/>
    <w:rsid w:val="006E496C"/>
    <w:rsid w:val="007052EA"/>
    <w:rsid w:val="00713BFD"/>
    <w:rsid w:val="007A107C"/>
    <w:rsid w:val="00837860"/>
    <w:rsid w:val="00861FE1"/>
    <w:rsid w:val="008A0378"/>
    <w:rsid w:val="00955140"/>
    <w:rsid w:val="009A5646"/>
    <w:rsid w:val="009C6FAC"/>
    <w:rsid w:val="00A52DF7"/>
    <w:rsid w:val="00AB5AE4"/>
    <w:rsid w:val="00AF790D"/>
    <w:rsid w:val="00C27B23"/>
    <w:rsid w:val="00D20C47"/>
    <w:rsid w:val="00D27496"/>
    <w:rsid w:val="00D63011"/>
    <w:rsid w:val="00FC79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CB1834-868F-432B-9D79-8EB178F1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keepNext/>
      <w:widowControl w:val="0"/>
      <w:pBdr>
        <w:top w:val="nil"/>
        <w:left w:val="nil"/>
        <w:bottom w:val="nil"/>
        <w:right w:val="nil"/>
      </w:pBdr>
      <w:suppressAutoHyphens/>
      <w:spacing w:after="120" w:line="100" w:lineRule="atLeast"/>
      <w:jc w:val="both"/>
    </w:pPr>
    <w:rPr>
      <w:rFonts w:ascii="Times New Roman" w:eastAsia="Times New Roman" w:hAnsi="Times New Roman" w:cs="Cambria"/>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rPr>
      <w:position w:val="22"/>
      <w:sz w:val="14"/>
    </w:rPr>
  </w:style>
  <w:style w:type="character" w:customStyle="1" w:styleId="TestonotaapidipaginaCarattere">
    <w:name w:val="Testo nota a piè di pagina Carattere"/>
    <w:basedOn w:val="Carpredefinitoparagrafo"/>
    <w:rPr>
      <w:rFonts w:ascii="Times New Roman" w:eastAsia="Times New Roman" w:hAnsi="Times New Roman" w:cs="Cambria"/>
      <w:sz w:val="20"/>
      <w:szCs w:val="20"/>
      <w:lang w:eastAsia="ar-SA"/>
    </w:rPr>
  </w:style>
  <w:style w:type="character" w:customStyle="1" w:styleId="TestonotaapidipaginaCarattere1">
    <w:name w:val="Testo nota a piè di pagina Carattere1"/>
    <w:basedOn w:val="Carpredefinitoparagrafo"/>
    <w:rPr>
      <w:rFonts w:ascii="Times New Roman" w:eastAsia="Times New Roman" w:hAnsi="Times New Roman" w:cs="Cambria"/>
      <w:sz w:val="24"/>
      <w:szCs w:val="24"/>
      <w:lang w:eastAsia="ar-SA"/>
    </w:rPr>
  </w:style>
  <w:style w:type="character" w:customStyle="1" w:styleId="TitoloCarattere">
    <w:name w:val="Titolo Carattere"/>
    <w:basedOn w:val="Carpredefinitoparagrafo"/>
    <w:rPr>
      <w:rFonts w:ascii="Times New Roman" w:eastAsia="Times New Roman" w:hAnsi="Times New Roman" w:cs="Times New Roman"/>
      <w:b/>
      <w:bCs/>
      <w:i/>
      <w:sz w:val="36"/>
      <w:szCs w:val="32"/>
      <w:lang w:eastAsia="ar-SA"/>
    </w:rPr>
  </w:style>
  <w:style w:type="character" w:customStyle="1" w:styleId="IntestazioneCarattere">
    <w:name w:val="Intestazione Carattere"/>
    <w:basedOn w:val="Carpredefinitoparagrafo"/>
    <w:rPr>
      <w:rFonts w:ascii="Times New Roman" w:eastAsia="Times New Roman" w:hAnsi="Times New Roman" w:cs="Cambria"/>
      <w:sz w:val="24"/>
      <w:szCs w:val="24"/>
      <w:lang w:eastAsia="ar-SA"/>
    </w:rPr>
  </w:style>
  <w:style w:type="character" w:customStyle="1" w:styleId="PidipaginaCarattere">
    <w:name w:val="Piè di pagina Carattere"/>
    <w:basedOn w:val="Carpredefinitoparagrafo"/>
    <w:rPr>
      <w:rFonts w:ascii="Times New Roman" w:eastAsia="Times New Roman" w:hAnsi="Times New Roman" w:cs="Cambria"/>
      <w:sz w:val="24"/>
      <w:szCs w:val="24"/>
      <w:lang w:eastAsia="ar-SA"/>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rFonts w:ascii="Times New Roman" w:eastAsia="Times New Roman" w:hAnsi="Times New Roman" w:cs="Cambria"/>
      <w:sz w:val="20"/>
      <w:szCs w:val="20"/>
      <w:lang w:eastAsia="ar-SA"/>
    </w:rPr>
  </w:style>
  <w:style w:type="character" w:customStyle="1" w:styleId="SoggettocommentoCarattere">
    <w:name w:val="Soggetto commento Carattere"/>
    <w:basedOn w:val="TestocommentoCarattere"/>
    <w:rPr>
      <w:rFonts w:ascii="Times New Roman" w:eastAsia="Times New Roman" w:hAnsi="Times New Roman" w:cs="Cambria"/>
      <w:b/>
      <w:bCs/>
      <w:sz w:val="20"/>
      <w:szCs w:val="20"/>
      <w:lang w:eastAsia="ar-SA"/>
    </w:rPr>
  </w:style>
  <w:style w:type="character" w:customStyle="1" w:styleId="TestofumettoCarattere">
    <w:name w:val="Testo fumetto Carattere"/>
    <w:basedOn w:val="Carpredefinitoparagrafo"/>
    <w:rPr>
      <w:rFonts w:ascii="Tahoma" w:eastAsia="Times New Roman" w:hAnsi="Tahoma" w:cs="Tahoma"/>
      <w:sz w:val="16"/>
      <w:szCs w:val="16"/>
      <w:lang w:eastAsia="ar-SA"/>
    </w:rPr>
  </w:style>
  <w:style w:type="character" w:customStyle="1" w:styleId="WWCharLFO13LVL1">
    <w:name w:val="WW_CharLFO13LVL1"/>
    <w:rPr>
      <w:rFonts w:ascii="Times New Roman" w:eastAsia="Times New Roman" w:hAnsi="Times New Roman" w:cs="Times New Roman"/>
    </w:rPr>
  </w:style>
  <w:style w:type="character" w:customStyle="1" w:styleId="WWCharLFO13LVL2">
    <w:name w:val="WW_CharLFO13LVL2"/>
    <w:rPr>
      <w:rFonts w:ascii="Courier New" w:hAnsi="Courier New" w:cs="Courier New"/>
    </w:rPr>
  </w:style>
  <w:style w:type="character" w:customStyle="1" w:styleId="WWCharLFO13LVL3">
    <w:name w:val="WW_CharLFO13LVL3"/>
    <w:rPr>
      <w:rFonts w:ascii="Wingdings" w:hAnsi="Wingdings"/>
    </w:rPr>
  </w:style>
  <w:style w:type="character" w:customStyle="1" w:styleId="WWCharLFO13LVL4">
    <w:name w:val="WW_CharLFO13LVL4"/>
    <w:rPr>
      <w:rFonts w:ascii="Symbol" w:hAnsi="Symbol"/>
    </w:rPr>
  </w:style>
  <w:style w:type="character" w:customStyle="1" w:styleId="WWCharLFO13LVL5">
    <w:name w:val="WW_CharLFO13LVL5"/>
    <w:rPr>
      <w:rFonts w:ascii="Courier New" w:hAnsi="Courier New" w:cs="Courier New"/>
    </w:rPr>
  </w:style>
  <w:style w:type="character" w:customStyle="1" w:styleId="WWCharLFO13LVL6">
    <w:name w:val="WW_CharLFO13LVL6"/>
    <w:rPr>
      <w:rFonts w:ascii="Wingdings" w:hAnsi="Wingdings"/>
    </w:rPr>
  </w:style>
  <w:style w:type="character" w:customStyle="1" w:styleId="WWCharLFO13LVL7">
    <w:name w:val="WW_CharLFO13LVL7"/>
    <w:rPr>
      <w:rFonts w:ascii="Symbol" w:hAnsi="Symbol"/>
    </w:rPr>
  </w:style>
  <w:style w:type="character" w:customStyle="1" w:styleId="WWCharLFO13LVL8">
    <w:name w:val="WW_CharLFO13LVL8"/>
    <w:rPr>
      <w:rFonts w:ascii="Courier New" w:hAnsi="Courier New" w:cs="Courier New"/>
    </w:rPr>
  </w:style>
  <w:style w:type="character" w:customStyle="1" w:styleId="WWCharLFO13LVL9">
    <w:name w:val="WW_CharLFO13LVL9"/>
    <w:rPr>
      <w:rFonts w:ascii="Wingdings" w:hAnsi="Wingdings"/>
    </w:rPr>
  </w:style>
  <w:style w:type="character" w:customStyle="1" w:styleId="WWCharLFO15LVL1">
    <w:name w:val="WW_CharLFO15LVL1"/>
    <w:rPr>
      <w:rFonts w:ascii="Times New Roman" w:eastAsia="Calibri" w:hAnsi="Times New Roman" w:cs="Times New Roman"/>
      <w:sz w:val="20"/>
    </w:rPr>
  </w:style>
  <w:style w:type="character" w:customStyle="1" w:styleId="WWCharLFO15LVL2">
    <w:name w:val="WW_CharLFO15LVL2"/>
    <w:rPr>
      <w:rFonts w:ascii="Courier New" w:hAnsi="Courier New" w:cs="Courier New"/>
    </w:rPr>
  </w:style>
  <w:style w:type="character" w:customStyle="1" w:styleId="WWCharLFO15LVL3">
    <w:name w:val="WW_CharLFO15LVL3"/>
    <w:rPr>
      <w:rFonts w:ascii="Wingdings" w:hAnsi="Wingdings"/>
    </w:rPr>
  </w:style>
  <w:style w:type="character" w:customStyle="1" w:styleId="WWCharLFO15LVL4">
    <w:name w:val="WW_CharLFO15LVL4"/>
    <w:rPr>
      <w:rFonts w:ascii="Symbol" w:hAnsi="Symbol"/>
    </w:rPr>
  </w:style>
  <w:style w:type="character" w:customStyle="1" w:styleId="WWCharLFO15LVL5">
    <w:name w:val="WW_CharLFO15LVL5"/>
    <w:rPr>
      <w:rFonts w:ascii="Courier New" w:hAnsi="Courier New" w:cs="Courier New"/>
    </w:rPr>
  </w:style>
  <w:style w:type="character" w:customStyle="1" w:styleId="WWCharLFO15LVL6">
    <w:name w:val="WW_CharLFO15LVL6"/>
    <w:rPr>
      <w:rFonts w:ascii="Wingdings" w:hAnsi="Wingdings"/>
    </w:rPr>
  </w:style>
  <w:style w:type="character" w:customStyle="1" w:styleId="WWCharLFO15LVL7">
    <w:name w:val="WW_CharLFO15LVL7"/>
    <w:rPr>
      <w:rFonts w:ascii="Symbol" w:hAnsi="Symbol"/>
    </w:rPr>
  </w:style>
  <w:style w:type="character" w:customStyle="1" w:styleId="WWCharLFO15LVL8">
    <w:name w:val="WW_CharLFO15LVL8"/>
    <w:rPr>
      <w:rFonts w:ascii="Courier New" w:hAnsi="Courier New" w:cs="Courier New"/>
    </w:rPr>
  </w:style>
  <w:style w:type="character" w:customStyle="1" w:styleId="WWCharLFO15LVL9">
    <w:name w:val="WW_CharLFO15LVL9"/>
    <w:rPr>
      <w:rFonts w:ascii="Wingdings" w:hAnsi="Wingdings"/>
    </w:rPr>
  </w:style>
  <w:style w:type="character" w:customStyle="1" w:styleId="Caratteredellanota">
    <w:name w:val="Carattere della nota"/>
  </w:style>
  <w:style w:type="paragraph" w:styleId="Testonotaapidipagina">
    <w:name w:val="footnote text"/>
    <w:basedOn w:val="Normale"/>
  </w:style>
  <w:style w:type="paragraph" w:styleId="Paragrafoelenco">
    <w:name w:val="List Paragraph"/>
    <w:basedOn w:val="Normale"/>
    <w:pPr>
      <w:ind w:left="357" w:hanging="357"/>
    </w:pPr>
  </w:style>
  <w:style w:type="paragraph" w:styleId="Titolo">
    <w:name w:val="Title"/>
    <w:basedOn w:val="Normale"/>
    <w:next w:val="Normale"/>
    <w:autoRedefine/>
    <w:pPr>
      <w:numPr>
        <w:numId w:val="1"/>
      </w:numPr>
      <w:spacing w:before="240" w:after="240"/>
      <w:jc w:val="center"/>
      <w:outlineLvl w:val="0"/>
    </w:pPr>
    <w:rPr>
      <w:rFonts w:cs="Times New Roman"/>
      <w:b/>
      <w:bCs/>
      <w:i/>
      <w:sz w:val="36"/>
      <w:szCs w:val="32"/>
    </w:rPr>
  </w:style>
  <w:style w:type="paragraph" w:customStyle="1" w:styleId="Corpodeltesto">
    <w:name w:val="Corpo del testo"/>
    <w:basedOn w:val="Normale"/>
  </w:style>
  <w:style w:type="paragraph" w:styleId="Intestazione">
    <w:name w:val="header"/>
    <w:basedOn w:val="Normale"/>
    <w:pPr>
      <w:tabs>
        <w:tab w:val="center" w:pos="4819"/>
        <w:tab w:val="right" w:pos="9638"/>
      </w:tabs>
      <w:spacing w:after="0"/>
    </w:pPr>
  </w:style>
  <w:style w:type="paragraph" w:styleId="Pidipagina">
    <w:name w:val="footer"/>
    <w:basedOn w:val="Normale"/>
    <w:pPr>
      <w:tabs>
        <w:tab w:val="center" w:pos="4819"/>
        <w:tab w:val="right" w:pos="9638"/>
      </w:tabs>
      <w:spacing w:after="0"/>
    </w:pPr>
  </w:style>
  <w:style w:type="paragraph" w:customStyle="1" w:styleId="Default">
    <w:name w:val="Default"/>
    <w:pPr>
      <w:keepNext/>
      <w:pBdr>
        <w:top w:val="nil"/>
        <w:left w:val="nil"/>
        <w:bottom w:val="nil"/>
        <w:right w:val="nil"/>
      </w:pBdr>
      <w:suppressAutoHyphens/>
      <w:autoSpaceDE w:val="0"/>
      <w:spacing w:after="0" w:line="100" w:lineRule="atLeast"/>
    </w:pPr>
    <w:rPr>
      <w:rFonts w:ascii="Times New Roman" w:eastAsia="Calibri" w:hAnsi="Times New Roman" w:cs="Times New Roman"/>
      <w:color w:val="000000"/>
      <w:sz w:val="24"/>
      <w:szCs w:val="24"/>
      <w:lang w:eastAsia="en-US"/>
    </w:rPr>
  </w:style>
  <w:style w:type="paragraph" w:styleId="Testocommento">
    <w:name w:val="annotation text"/>
    <w:basedOn w:val="Normale"/>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pPr>
      <w:spacing w:after="0"/>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1601</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i.siciliani</dc:creator>
  <cp:lastModifiedBy>uc00202</cp:lastModifiedBy>
  <cp:revision>20</cp:revision>
  <cp:lastPrinted>2018-02-28T15:30:00Z</cp:lastPrinted>
  <dcterms:created xsi:type="dcterms:W3CDTF">2013-12-19T15:41:00Z</dcterms:created>
  <dcterms:modified xsi:type="dcterms:W3CDTF">2019-04-01T08:45:00Z</dcterms:modified>
</cp:coreProperties>
</file>